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u w:val="single"/>
          <w:rtl w:val="0"/>
        </w:rPr>
        <w:t xml:space="preserve">Our Math Partners Rubric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Name:  </w:t>
        <w:tab/>
        <w:tab/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Mathematicians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always do their best to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take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care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of one another!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sz w:val="30"/>
                <w:szCs w:val="3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Excellent 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= Good/Okay 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✔ Not yet 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Partner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Math partners take care of each other by...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to our partner when they’re talking 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</w:rPr>
              <w:drawing>
                <wp:inline distB="114300" distT="114300" distL="114300" distR="114300">
                  <wp:extent cx="1046026" cy="59667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6" cy="5966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including our partner if they feel left out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</w:rPr>
              <w:drawing>
                <wp:inline distB="114300" distT="114300" distL="114300" distR="114300">
                  <wp:extent cx="979536" cy="85860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536" cy="8586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sharing our thinking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</w:rPr>
              <w:drawing>
                <wp:inline distB="114300" distT="114300" distL="114300" distR="114300">
                  <wp:extent cx="1023938" cy="80761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8" cy="807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